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0" w:firstLineChars="200"/>
        <w:jc w:val="center"/>
        <w:rPr>
          <w:rFonts w:asciiTheme="minorEastAsia" w:hAnsiTheme="minorEastAsia" w:eastAsiaTheme="minorEastAsia"/>
          <w:sz w:val="24"/>
        </w:rPr>
      </w:pPr>
      <w:bookmarkStart w:id="0" w:name="_GoBack"/>
      <w:bookmarkEnd w:id="0"/>
    </w:p>
    <w:p>
      <w:pPr>
        <w:jc w:val="center"/>
        <w:rPr>
          <w:rFonts w:asciiTheme="minorEastAsia" w:hAnsiTheme="minorEastAsia" w:eastAsiaTheme="minorEastAsia"/>
          <w:b/>
          <w:spacing w:val="4"/>
          <w:w w:val="90"/>
          <w:sz w:val="24"/>
        </w:rPr>
      </w:pPr>
    </w:p>
    <w:p>
      <w:pPr>
        <w:jc w:val="center"/>
        <w:rPr>
          <w:rFonts w:asciiTheme="minorEastAsia" w:hAnsiTheme="minorEastAsia" w:eastAsiaTheme="minorEastAsia"/>
          <w:b/>
          <w:spacing w:val="4"/>
          <w:w w:val="90"/>
          <w:sz w:val="44"/>
          <w:szCs w:val="44"/>
        </w:rPr>
      </w:pP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四川</w:t>
      </w:r>
      <w:r>
        <w:rPr>
          <w:rFonts w:asciiTheme="minorEastAsia" w:hAnsiTheme="minorEastAsia" w:eastAsiaTheme="minorEastAsia"/>
          <w:b/>
          <w:color w:val="000000"/>
          <w:sz w:val="44"/>
          <w:szCs w:val="44"/>
        </w:rPr>
        <w:t>省</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隧道机电技术状况评估</w:t>
      </w:r>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w w:val="66"/>
          <w:sz w:val="72"/>
          <w:szCs w:val="72"/>
        </w:rPr>
      </w:pPr>
      <w:r>
        <w:rPr>
          <w:rFonts w:hint="eastAsia" w:asciiTheme="minorEastAsia" w:hAnsiTheme="minorEastAsia" w:eastAsiaTheme="minorEastAsia"/>
          <w:w w:val="66"/>
          <w:sz w:val="72"/>
          <w:szCs w:val="72"/>
        </w:rPr>
        <w:t xml:space="preserve">询  价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四川叙古高速公路开发有限责任公司</w:t>
      </w:r>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二</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lang w:val="en-US" w:eastAsia="zh-CN"/>
        </w:rPr>
        <w:t>八</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p>
      <w:pPr>
        <w:jc w:val="center"/>
        <w:rPr>
          <w:rFonts w:asciiTheme="minorEastAsia" w:hAnsiTheme="minorEastAsia" w:eastAsiaTheme="minorEastAsia"/>
          <w:b/>
          <w:sz w:val="24"/>
        </w:rPr>
      </w:pPr>
      <w:r>
        <w:rPr>
          <w:rFonts w:hint="eastAsia" w:asciiTheme="minorEastAsia" w:hAnsiTheme="minorEastAsia" w:eastAsiaTheme="minorEastAsia"/>
          <w:b/>
          <w:sz w:val="24"/>
        </w:rPr>
        <w:t>目  录</w:t>
      </w:r>
    </w:p>
    <w:p>
      <w:pPr>
        <w:pStyle w:val="16"/>
        <w:tabs>
          <w:tab w:val="right" w:leader="dot" w:pos="8947"/>
        </w:tabs>
        <w:rPr>
          <w:rFonts w:asciiTheme="minorEastAsia" w:hAnsiTheme="minorEastAsia" w:eastAsiaTheme="minorEastAsia"/>
          <w:sz w:val="24"/>
        </w:rPr>
      </w:pPr>
      <w:r>
        <w:rPr>
          <w:rFonts w:asciiTheme="minorEastAsia" w:hAnsiTheme="minorEastAsia" w:eastAsiaTheme="minorEastAsia"/>
          <w:b/>
          <w:sz w:val="24"/>
        </w:rPr>
        <w:fldChar w:fldCharType="begin" w:fldLock="1"/>
      </w:r>
      <w:r>
        <w:rPr>
          <w:rFonts w:asciiTheme="minorEastAsia" w:hAnsiTheme="minorEastAsia" w:eastAsiaTheme="minorEastAsia"/>
          <w:b/>
          <w:sz w:val="24"/>
        </w:rPr>
        <w:instrText xml:space="preserve"> TOC \o "1-2" \h \z \u </w:instrText>
      </w:r>
      <w:r>
        <w:rPr>
          <w:rFonts w:asciiTheme="minorEastAsia" w:hAnsiTheme="minorEastAsia" w:eastAsiaTheme="minorEastAsia"/>
          <w:b/>
          <w:sz w:val="24"/>
        </w:rPr>
        <w:fldChar w:fldCharType="separate"/>
      </w:r>
      <w:r>
        <w:fldChar w:fldCharType="begin" w:fldLock="1"/>
      </w:r>
      <w:r>
        <w:instrText xml:space="preserve"> HYPERLINK \l "_Toc353294063" </w:instrText>
      </w:r>
      <w:r>
        <w:fldChar w:fldCharType="separate"/>
      </w:r>
      <w:r>
        <w:rPr>
          <w:rStyle w:val="23"/>
          <w:rFonts w:hint="eastAsia" w:asciiTheme="minorEastAsia" w:hAnsiTheme="minorEastAsia" w:eastAsiaTheme="minorEastAsia"/>
          <w:sz w:val="24"/>
        </w:rPr>
        <w:t>第一部分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询价公告</w:t>
      </w:r>
      <w:r>
        <w:rPr>
          <w:rStyle w:val="23"/>
          <w:rFonts w:hint="eastAsia" w:asciiTheme="minorEastAsia" w:hAnsiTheme="minorEastAsia" w:eastAsiaTheme="minorEastAsia"/>
          <w:sz w:val="24"/>
          <w:lang w:val="en-US" w:eastAsia="zh-CN"/>
        </w:rPr>
        <w:t>.........................................................</w:t>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_Toc353294063 \h </w:instrText>
      </w:r>
      <w:r>
        <w:rPr>
          <w:rFonts w:asciiTheme="minorEastAsia" w:hAnsiTheme="minorEastAsia" w:eastAsiaTheme="minorEastAsia"/>
          <w:sz w:val="24"/>
        </w:rPr>
        <w:fldChar w:fldCharType="separate"/>
      </w:r>
      <w:r>
        <w:rPr>
          <w:rFonts w:asciiTheme="minorEastAsia" w:hAnsiTheme="minorEastAsia" w:eastAsiaTheme="minorEastAsia"/>
          <w:sz w:val="24"/>
        </w:rPr>
        <w:t>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fldLock="1"/>
      </w:r>
      <w:r>
        <w:instrText xml:space="preserve"> HYPERLINK \l "_Toc353294064" </w:instrText>
      </w:r>
      <w:r>
        <w:fldChar w:fldCharType="separate"/>
      </w:r>
      <w:r>
        <w:rPr>
          <w:rStyle w:val="23"/>
          <w:rFonts w:hint="eastAsia" w:asciiTheme="minorEastAsia" w:hAnsiTheme="minorEastAsia" w:eastAsiaTheme="minorEastAsia"/>
          <w:sz w:val="24"/>
        </w:rPr>
        <w:t>第二部分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投</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标</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须</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知</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_Toc353294064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"_Toc353294065" </w:instrText>
      </w:r>
      <w:r>
        <w:fldChar w:fldCharType="separate"/>
      </w:r>
      <w:r>
        <w:rPr>
          <w:rStyle w:val="23"/>
          <w:rFonts w:hint="eastAsia" w:asciiTheme="minorEastAsia" w:hAnsiTheme="minorEastAsia" w:eastAsiaTheme="minorEastAsia"/>
          <w:sz w:val="24"/>
        </w:rPr>
        <w:t>一、总则</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_Toc353294065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"_Toc353294066" </w:instrText>
      </w:r>
      <w:r>
        <w:fldChar w:fldCharType="separate"/>
      </w:r>
      <w:r>
        <w:rPr>
          <w:rStyle w:val="23"/>
          <w:rFonts w:hint="eastAsia" w:asciiTheme="minorEastAsia" w:hAnsiTheme="minorEastAsia" w:eastAsiaTheme="minorEastAsia"/>
          <w:sz w:val="24"/>
        </w:rPr>
        <w:t>二、询价文件</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_Toc353294066 \h </w:instrText>
      </w:r>
      <w:r>
        <w:rPr>
          <w:rFonts w:asciiTheme="minorEastAsia" w:hAnsiTheme="minorEastAsia" w:eastAsiaTheme="minorEastAsia"/>
          <w:sz w:val="24"/>
        </w:rPr>
        <w:fldChar w:fldCharType="separate"/>
      </w:r>
      <w:r>
        <w:rPr>
          <w:rFonts w:asciiTheme="minorEastAsia" w:hAnsiTheme="minorEastAsia" w:eastAsiaTheme="minorEastAsia"/>
          <w:sz w:val="24"/>
        </w:rPr>
        <w:t>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"_Toc353294067" </w:instrText>
      </w:r>
      <w:r>
        <w:fldChar w:fldCharType="separate"/>
      </w:r>
      <w:r>
        <w:rPr>
          <w:rStyle w:val="23"/>
          <w:rFonts w:hint="eastAsia" w:asciiTheme="minorEastAsia" w:hAnsiTheme="minorEastAsia" w:eastAsiaTheme="minorEastAsia"/>
          <w:sz w:val="24"/>
        </w:rPr>
        <w:t>三、报价文件</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_Toc353294067 \h </w:instrText>
      </w:r>
      <w:r>
        <w:rPr>
          <w:rFonts w:asciiTheme="minorEastAsia" w:hAnsiTheme="minorEastAsia" w:eastAsiaTheme="minorEastAsia"/>
          <w:sz w:val="24"/>
        </w:rPr>
        <w:fldChar w:fldCharType="separate"/>
      </w:r>
      <w:r>
        <w:rPr>
          <w:rFonts w:asciiTheme="minorEastAsia" w:hAnsiTheme="minorEastAsia" w:eastAsiaTheme="minorEastAsia"/>
          <w:sz w:val="24"/>
        </w:rPr>
        <w:t>9</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"_Toc353294068" </w:instrText>
      </w:r>
      <w:r>
        <w:fldChar w:fldCharType="separate"/>
      </w:r>
      <w:r>
        <w:rPr>
          <w:rStyle w:val="23"/>
          <w:rFonts w:hint="eastAsia" w:asciiTheme="minorEastAsia" w:hAnsiTheme="minorEastAsia" w:eastAsiaTheme="minorEastAsia"/>
          <w:sz w:val="24"/>
        </w:rPr>
        <w:t>四、报价报价函递交</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_Toc353294068 \h </w:instrText>
      </w:r>
      <w:r>
        <w:rPr>
          <w:rFonts w:asciiTheme="minorEastAsia" w:hAnsiTheme="minorEastAsia" w:eastAsiaTheme="minorEastAsia"/>
          <w:sz w:val="24"/>
        </w:rPr>
        <w:fldChar w:fldCharType="separate"/>
      </w:r>
      <w:r>
        <w:rPr>
          <w:rFonts w:asciiTheme="minorEastAsia" w:hAnsiTheme="minorEastAsia" w:eastAsiaTheme="minorEastAsia"/>
          <w:sz w:val="24"/>
        </w:rPr>
        <w:t>11</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"_Toc353294069" </w:instrText>
      </w:r>
      <w:r>
        <w:fldChar w:fldCharType="separate"/>
      </w:r>
      <w:r>
        <w:rPr>
          <w:rStyle w:val="23"/>
          <w:rFonts w:hint="eastAsia" w:asciiTheme="minorEastAsia" w:hAnsiTheme="minorEastAsia" w:eastAsiaTheme="minorEastAsia"/>
          <w:sz w:val="24"/>
        </w:rPr>
        <w:t>五、评审</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_Toc353294069 \h </w:instrText>
      </w:r>
      <w:r>
        <w:rPr>
          <w:rFonts w:asciiTheme="minorEastAsia" w:hAnsiTheme="minorEastAsia" w:eastAsiaTheme="minorEastAsia"/>
          <w:sz w:val="24"/>
        </w:rPr>
        <w:fldChar w:fldCharType="separate"/>
      </w:r>
      <w:r>
        <w:rPr>
          <w:rFonts w:asciiTheme="minorEastAsia" w:hAnsiTheme="minorEastAsia" w:eastAsiaTheme="minorEastAsia"/>
          <w:sz w:val="24"/>
        </w:rPr>
        <w:t>12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"_Toc353294070" </w:instrText>
      </w:r>
      <w:r>
        <w:fldChar w:fldCharType="separate"/>
      </w:r>
      <w:r>
        <w:rPr>
          <w:rStyle w:val="23"/>
          <w:rFonts w:hint="eastAsia" w:asciiTheme="minorEastAsia" w:hAnsiTheme="minorEastAsia" w:eastAsiaTheme="minorEastAsia"/>
          <w:sz w:val="24"/>
        </w:rPr>
        <w:t>六、授予合同</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_Toc353294070 \h </w:instrText>
      </w:r>
      <w:r>
        <w:rPr>
          <w:rFonts w:asciiTheme="minorEastAsia" w:hAnsiTheme="minorEastAsia" w:eastAsiaTheme="minorEastAsia"/>
          <w:sz w:val="24"/>
        </w:rPr>
        <w:fldChar w:fldCharType="separate"/>
      </w:r>
      <w:r>
        <w:rPr>
          <w:rFonts w:asciiTheme="minorEastAsia" w:hAnsiTheme="minorEastAsia" w:eastAsiaTheme="minorEastAsia"/>
          <w:sz w:val="24"/>
        </w:rPr>
        <w:t>13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"_Toc353294071" </w:instrText>
      </w:r>
      <w:r>
        <w:fldChar w:fldCharType="separate"/>
      </w:r>
      <w:r>
        <w:rPr>
          <w:rStyle w:val="23"/>
          <w:rFonts w:hint="eastAsia" w:asciiTheme="minorEastAsia" w:hAnsiTheme="minorEastAsia" w:eastAsiaTheme="minorEastAsia"/>
          <w:sz w:val="24"/>
        </w:rPr>
        <w:t>附件</w:t>
      </w:r>
      <w:r>
        <w:rPr>
          <w:rStyle w:val="23"/>
          <w:rFonts w:asciiTheme="minorEastAsia" w:hAnsiTheme="minorEastAsia" w:eastAsiaTheme="minorEastAsia"/>
          <w:sz w:val="24"/>
        </w:rPr>
        <w:t xml:space="preserve">1  </w:t>
      </w:r>
      <w:r>
        <w:rPr>
          <w:rStyle w:val="23"/>
          <w:rFonts w:hint="eastAsia" w:asciiTheme="minorEastAsia" w:hAnsiTheme="minorEastAsia" w:eastAsiaTheme="minorEastAsia"/>
          <w:sz w:val="24"/>
        </w:rPr>
        <w:t>资格审查要求</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_Toc353294071 \h </w:instrText>
      </w:r>
      <w:r>
        <w:rPr>
          <w:rFonts w:asciiTheme="minorEastAsia" w:hAnsiTheme="minorEastAsia" w:eastAsiaTheme="minorEastAsia"/>
          <w:sz w:val="24"/>
        </w:rPr>
        <w:fldChar w:fldCharType="separate"/>
      </w:r>
      <w:r>
        <w:rPr>
          <w:rFonts w:asciiTheme="minorEastAsia" w:hAnsiTheme="minorEastAsia" w:eastAsiaTheme="minorEastAsia"/>
          <w:sz w:val="24"/>
        </w:rPr>
        <w:t>15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fldLock="1"/>
      </w:r>
      <w:r>
        <w:instrText xml:space="preserve"> HYPERLINK \l "_Toc353294072" </w:instrText>
      </w:r>
      <w:r>
        <w:fldChar w:fldCharType="separate"/>
      </w:r>
      <w:r>
        <w:rPr>
          <w:rStyle w:val="23"/>
          <w:rFonts w:hint="eastAsia" w:asciiTheme="minorEastAsia" w:hAnsiTheme="minorEastAsia" w:eastAsiaTheme="minorEastAsia"/>
          <w:sz w:val="24"/>
        </w:rPr>
        <w:t>第三部分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技术标准、质量要求和图纸</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_Toc353294072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"_Toc353294073" </w:instrText>
      </w:r>
      <w:r>
        <w:fldChar w:fldCharType="separate"/>
      </w:r>
      <w:r>
        <w:rPr>
          <w:rStyle w:val="23"/>
          <w:rFonts w:hint="eastAsia" w:asciiTheme="minorEastAsia" w:hAnsiTheme="minorEastAsia" w:eastAsiaTheme="minorEastAsia"/>
          <w:sz w:val="24"/>
        </w:rPr>
        <w:t>一、项目介绍</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_Toc353294073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"_Toc353294074" </w:instrText>
      </w:r>
      <w:r>
        <w:fldChar w:fldCharType="separate"/>
      </w:r>
      <w:r>
        <w:rPr>
          <w:rStyle w:val="23"/>
          <w:rFonts w:hint="eastAsia" w:asciiTheme="minorEastAsia" w:hAnsiTheme="minorEastAsia" w:eastAsiaTheme="minorEastAsia"/>
          <w:sz w:val="24"/>
        </w:rPr>
        <w:t>二、技术标准和质量要求</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_Toc353294074 \h </w:instrText>
      </w:r>
      <w:r>
        <w:rPr>
          <w:rFonts w:asciiTheme="minorEastAsia" w:hAnsiTheme="minorEastAsia" w:eastAsiaTheme="minorEastAsia"/>
          <w:sz w:val="24"/>
        </w:rPr>
        <w:fldChar w:fldCharType="separate"/>
      </w:r>
      <w:r>
        <w:rPr>
          <w:rFonts w:asciiTheme="minorEastAsia" w:hAnsiTheme="minorEastAsia" w:eastAsiaTheme="minorEastAsia"/>
          <w:sz w:val="24"/>
        </w:rPr>
        <w:t>20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"_Toc353294075" </w:instrText>
      </w:r>
      <w:r>
        <w:fldChar w:fldCharType="separate"/>
      </w:r>
      <w:r>
        <w:rPr>
          <w:rStyle w:val="23"/>
          <w:rFonts w:hint="eastAsia" w:asciiTheme="minorEastAsia" w:hAnsiTheme="minorEastAsia" w:eastAsiaTheme="minorEastAsia"/>
          <w:sz w:val="24"/>
        </w:rPr>
        <w:t>三、图纸</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_Toc353294075 \h </w:instrText>
      </w:r>
      <w:r>
        <w:rPr>
          <w:rFonts w:asciiTheme="minorEastAsia" w:hAnsiTheme="minorEastAsia" w:eastAsiaTheme="minorEastAsia"/>
          <w:sz w:val="24"/>
        </w:rPr>
        <w:fldChar w:fldCharType="separate"/>
      </w:r>
      <w:r>
        <w:rPr>
          <w:rFonts w:asciiTheme="minorEastAsia" w:hAnsiTheme="minorEastAsia" w:eastAsiaTheme="minorEastAsia"/>
          <w:sz w:val="24"/>
        </w:rPr>
        <w:t>32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fldLock="1"/>
      </w:r>
      <w:r>
        <w:instrText xml:space="preserve"> HYPERLINK \l "_Toc353294076" </w:instrText>
      </w:r>
      <w:r>
        <w:fldChar w:fldCharType="separate"/>
      </w:r>
      <w:r>
        <w:rPr>
          <w:rStyle w:val="23"/>
          <w:rFonts w:hint="eastAsia" w:asciiTheme="minorEastAsia" w:hAnsiTheme="minorEastAsia" w:eastAsiaTheme="minorEastAsia"/>
          <w:sz w:val="24"/>
        </w:rPr>
        <w:t>第四部分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合同格式</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_Toc353294076 \h </w:instrText>
      </w:r>
      <w:r>
        <w:rPr>
          <w:rFonts w:asciiTheme="minorEastAsia" w:hAnsiTheme="minorEastAsia" w:eastAsiaTheme="minorEastAsia"/>
          <w:sz w:val="24"/>
        </w:rPr>
        <w:fldChar w:fldCharType="separate"/>
      </w:r>
      <w:r>
        <w:rPr>
          <w:rFonts w:asciiTheme="minorEastAsia" w:hAnsiTheme="minorEastAsia" w:eastAsiaTheme="minorEastAsia"/>
          <w:sz w:val="24"/>
        </w:rPr>
        <w:t>33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6"/>
        <w:tabs>
          <w:tab w:val="right" w:leader="dot" w:pos="8947"/>
        </w:tabs>
        <w:rPr>
          <w:rFonts w:asciiTheme="minorEastAsia" w:hAnsiTheme="minorEastAsia" w:eastAsiaTheme="minorEastAsia"/>
          <w:sz w:val="24"/>
        </w:rPr>
      </w:pPr>
      <w:r>
        <w:fldChar w:fldCharType="begin" w:fldLock="1"/>
      </w:r>
      <w:r>
        <w:instrText xml:space="preserve"> HYPERLINK \l "_Toc353294077" </w:instrText>
      </w:r>
      <w:r>
        <w:fldChar w:fldCharType="separate"/>
      </w:r>
      <w:r>
        <w:rPr>
          <w:rStyle w:val="23"/>
          <w:rFonts w:hint="eastAsia" w:asciiTheme="minorEastAsia" w:hAnsiTheme="minorEastAsia" w:eastAsiaTheme="minorEastAsia"/>
          <w:sz w:val="24"/>
        </w:rPr>
        <w:t>第五部分</w:t>
      </w:r>
      <w:r>
        <w:rPr>
          <w:rStyle w:val="23"/>
          <w:rFonts w:asciiTheme="minorEastAsia" w:hAnsiTheme="minorEastAsia" w:eastAsiaTheme="minorEastAsia"/>
          <w:sz w:val="24"/>
        </w:rPr>
        <w:t xml:space="preserve">  </w:t>
      </w:r>
      <w:r>
        <w:rPr>
          <w:rStyle w:val="23"/>
          <w:rFonts w:hint="eastAsia" w:asciiTheme="minorEastAsia" w:hAnsiTheme="minorEastAsia" w:eastAsiaTheme="minorEastAsia"/>
          <w:sz w:val="24"/>
        </w:rPr>
        <w:t>报价书格式</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_Toc353294077 \h </w:instrText>
      </w:r>
      <w:r>
        <w:rPr>
          <w:rFonts w:asciiTheme="minorEastAsia" w:hAnsiTheme="minorEastAsia" w:eastAsiaTheme="minorEastAsia"/>
          <w:sz w:val="24"/>
        </w:rPr>
        <w:fldChar w:fldCharType="separate"/>
      </w:r>
      <w:r>
        <w:rPr>
          <w:rFonts w:asciiTheme="minorEastAsia" w:hAnsiTheme="minorEastAsia" w:eastAsiaTheme="minorEastAsia"/>
          <w:sz w:val="24"/>
        </w:rPr>
        <w:t>45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18"/>
        <w:tabs>
          <w:tab w:val="right" w:leader="dot" w:pos="8947"/>
        </w:tabs>
        <w:ind w:left="199" w:leftChars="95" w:firstLine="300" w:firstLineChars="125"/>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pStyle w:val="18"/>
        <w:tabs>
          <w:tab w:val="right" w:leader="dot" w:pos="9061"/>
        </w:tabs>
        <w:ind w:left="199" w:leftChars="95" w:firstLine="300" w:firstLineChars="125"/>
        <w:rPr>
          <w:rFonts w:asciiTheme="minorEastAsia" w:hAnsiTheme="minorEastAsia" w:eastAsiaTheme="minorEastAsia"/>
          <w:sz w:val="24"/>
        </w:rPr>
      </w:pPr>
      <w:r>
        <w:rPr>
          <w:rFonts w:asciiTheme="minorEastAsia" w:hAnsiTheme="minorEastAsia" w:eastAsiaTheme="minorEastAsia"/>
          <w:b/>
          <w:sz w:val="24"/>
        </w:rPr>
        <w:fldChar w:fldCharType="end"/>
      </w:r>
    </w:p>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r>
        <w:rPr>
          <w:rFonts w:asciiTheme="minorEastAsia" w:hAnsiTheme="minorEastAsia" w:eastAsiaTheme="minorEastAsia"/>
          <w:sz w:val="24"/>
        </w:rPr>
        <w:br w:type="page"/>
      </w:r>
    </w:p>
    <w:p>
      <w:pPr>
        <w:pStyle w:val="2"/>
        <w:jc w:val="center"/>
        <w:rPr>
          <w:rFonts w:asciiTheme="minorEastAsia" w:hAnsiTheme="minorEastAsia" w:eastAsiaTheme="minorEastAsia"/>
          <w:sz w:val="24"/>
          <w:szCs w:val="24"/>
        </w:rPr>
      </w:pPr>
      <w:r>
        <w:rPr>
          <w:rFonts w:asciiTheme="minorEastAsia" w:hAnsiTheme="minorEastAsia" w:eastAsiaTheme="minorEastAsia"/>
          <w:sz w:val="24"/>
          <w:szCs w:val="24"/>
        </w:rPr>
        <w:t xml:space="preserve">第一部分  </w:t>
      </w:r>
      <w:r>
        <w:rPr>
          <w:rFonts w:hint="eastAsia" w:asciiTheme="minorEastAsia" w:hAnsiTheme="minorEastAsia" w:eastAsiaTheme="minorEastAsia"/>
          <w:sz w:val="24"/>
          <w:szCs w:val="24"/>
        </w:rPr>
        <w:t>询价公告</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一 询价条件</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四川叙古高速公路开发有限责任公司（简称“叙古公司”）依据四川省交通运输厅高速公路管理局及隧道养护技术规范的相关要求，对本公司所辖叙永至古蔺高速公路隧道机电技术状况进行评估。</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二 项目概况</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工程概况：全线设计里程为K0+000～K66+617，路线长66.617公里。</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技术标准：全线采用高速公路标准修建，设计速度80km/h，双向四车道，路基宽度24.5m；桥涵设计荷载为公路-Ⅰ级；沥青混凝土路面；其余技术指标采用交通部颁《公路工程技术标准》规定值。</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隧道情况如下表：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410"/>
        <w:gridCol w:w="1843"/>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0"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1586"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4000"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螺丝寨连拱隧道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453</w:t>
            </w:r>
          </w:p>
        </w:tc>
        <w:tc>
          <w:tcPr>
            <w:tcW w:w="1586"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汪家岩隧道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4001</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3976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集美隧道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978</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1029</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百合园隧道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273</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300</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德耀隧道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1145</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1163</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000"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桐子湾连拱隧道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323</w:t>
            </w:r>
          </w:p>
        </w:tc>
        <w:tc>
          <w:tcPr>
            <w:tcW w:w="1586"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邓家沟隧道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260</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264</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石板滩隧道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478</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481</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大岚坳隧道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牛角隧道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356</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362</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太平渡隧道</w:t>
            </w: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3100</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3120</w:t>
            </w:r>
          </w:p>
        </w:tc>
        <w:tc>
          <w:tcPr>
            <w:tcW w:w="1586" w:type="dxa"/>
            <w:vMerge w:val="continue"/>
            <w:vAlign w:val="center"/>
          </w:tcPr>
          <w:p>
            <w:pPr>
              <w:jc w:val="center"/>
              <w:rPr>
                <w:rFonts w:asciiTheme="minorEastAsia" w:hAnsiTheme="minorEastAsia" w:eastAsiaTheme="minorEastAsia"/>
                <w:sz w:val="24"/>
              </w:rPr>
            </w:pPr>
          </w:p>
        </w:tc>
      </w:tr>
    </w:tbl>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询价内容：隧道机电技术状况评估</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工期计划：≤15天（自合同签订之日起）</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工程地点：四川省泸州市叙永县、古蔺县</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质量要求：要符合《公路隧道设计规范 第二册 交通工程与附属设施》JTG D70/2-2014)、《公路隧道照明设计细则》（JTG/T D70/2-01-2014)、《公路隧道通风设计细则》（JTG/T D70/2-02-2014)，《公路隧道养护技术规范》（JTG H12-2015)以及部制定的《公路隧道提质升级行动技术指南》等。</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三、报价文件的递交</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4.1报价文件的递交</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递交文件截止时间为202</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 xml:space="preserve"> 9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 xml:space="preserve"> 6 </w:t>
      </w:r>
      <w:r>
        <w:rPr>
          <w:rFonts w:hint="eastAsia" w:cs="宋体" w:asciiTheme="minorEastAsia" w:hAnsiTheme="minorEastAsia" w:eastAsiaTheme="minorEastAsia"/>
          <w:sz w:val="24"/>
        </w:rPr>
        <w:t>日10:00时，</w:t>
      </w:r>
      <w:r>
        <w:rPr>
          <w:rFonts w:hint="eastAsia" w:cs="宋体" w:asciiTheme="minorEastAsia" w:hAnsiTheme="minorEastAsia" w:eastAsiaTheme="minorEastAsia"/>
          <w:sz w:val="24"/>
        </w:rPr>
        <w:fldChar w:fldCharType="begin"/>
      </w:r>
      <w:r>
        <w:rPr>
          <w:rFonts w:hint="eastAsia" w:cs="宋体" w:asciiTheme="minorEastAsia" w:hAnsiTheme="minorEastAsia" w:eastAsiaTheme="minorEastAsia"/>
          <w:sz w:val="24"/>
        </w:rPr>
        <w:instrText xml:space="preserve"> HYPERLINK "mailto:报价人应将报价文件电子版发送到邮箱736588544@qq.com，" </w:instrText>
      </w:r>
      <w:r>
        <w:rPr>
          <w:rFonts w:hint="eastAsia" w:cs="宋体" w:asciiTheme="minorEastAsia" w:hAnsiTheme="minorEastAsia" w:eastAsiaTheme="minorEastAsia"/>
          <w:sz w:val="24"/>
        </w:rPr>
        <w:fldChar w:fldCharType="separate"/>
      </w:r>
      <w:r>
        <w:rPr>
          <w:rFonts w:hint="eastAsia" w:cs="宋体" w:asciiTheme="minorEastAsia" w:hAnsiTheme="minorEastAsia" w:eastAsiaTheme="minorEastAsia"/>
          <w:sz w:val="24"/>
        </w:rPr>
        <w:t>报价人应将报价文件电子版发送到邮箱736588544@qq.com，</w:t>
      </w:r>
      <w:r>
        <w:rPr>
          <w:rFonts w:hint="eastAsia" w:cs="宋体" w:asciiTheme="minorEastAsia" w:hAnsiTheme="minorEastAsia" w:eastAsiaTheme="minorEastAsia"/>
          <w:sz w:val="24"/>
        </w:rPr>
        <w:fldChar w:fldCharType="end"/>
      </w:r>
      <w:r>
        <w:rPr>
          <w:rFonts w:hint="eastAsia" w:cs="宋体" w:asciiTheme="minorEastAsia" w:hAnsiTheme="minorEastAsia" w:eastAsiaTheme="minorEastAsia"/>
          <w:sz w:val="24"/>
          <w:lang w:val="en-US" w:eastAsia="zh-CN"/>
        </w:rPr>
        <w:t>并将</w:t>
      </w:r>
      <w:r>
        <w:rPr>
          <w:rFonts w:hint="eastAsia" w:cs="宋体" w:asciiTheme="minorEastAsia" w:hAnsiTheme="minorEastAsia" w:eastAsiaTheme="minorEastAsia"/>
          <w:sz w:val="24"/>
        </w:rPr>
        <w:t>纸版报价文件</w:t>
      </w:r>
      <w:r>
        <w:rPr>
          <w:rFonts w:hint="eastAsia" w:cs="宋体" w:asciiTheme="minorEastAsia" w:hAnsiTheme="minorEastAsia" w:eastAsiaTheme="minorEastAsia"/>
          <w:sz w:val="24"/>
          <w:lang w:val="en-US" w:eastAsia="zh-CN"/>
        </w:rPr>
        <w:t>由报价人的授权委托人递交</w:t>
      </w:r>
      <w:r>
        <w:rPr>
          <w:rFonts w:hint="eastAsia" w:cs="宋体" w:asciiTheme="minorEastAsia" w:hAnsiTheme="minorEastAsia" w:eastAsiaTheme="minorEastAsia"/>
          <w:sz w:val="24"/>
        </w:rPr>
        <w:t>到：四川叙古高速公路开发有限责任公司</w:t>
      </w:r>
      <w:r>
        <w:rPr>
          <w:rFonts w:hint="eastAsia" w:cs="宋体" w:asciiTheme="minorEastAsia" w:hAnsiTheme="minorEastAsia" w:eastAsiaTheme="minorEastAsia"/>
          <w:sz w:val="24"/>
          <w:lang w:val="en-US" w:eastAsia="zh-CN"/>
        </w:rPr>
        <w:t>三楼工程养护处</w:t>
      </w:r>
      <w:r>
        <w:rPr>
          <w:rFonts w:hint="eastAsia" w:cs="宋体" w:asciiTheme="minorEastAsia" w:hAnsiTheme="minorEastAsia" w:eastAsiaTheme="minorEastAsia"/>
          <w:sz w:val="24"/>
        </w:rPr>
        <w:t>（地址：泸州市古蔺县叙古高速公路古蔺收费站）李禹 （联系电话：18328524323）收，报价文件名称 “xx公司隧道机电技术状况评估询价报价文件</w:t>
      </w:r>
      <w:r>
        <w:rPr>
          <w:rFonts w:cs="宋体" w:asciiTheme="minorEastAsia" w:hAnsiTheme="minorEastAsia" w:eastAsiaTheme="minorEastAsia"/>
          <w:sz w:val="24"/>
        </w:rPr>
        <w:t>”</w:t>
      </w:r>
      <w:r>
        <w:rPr>
          <w:rFonts w:hint="eastAsia" w:cs="宋体" w:asciiTheme="minorEastAsia" w:hAnsiTheme="minorEastAsia" w:eastAsiaTheme="minorEastAsia"/>
          <w:sz w:val="24"/>
        </w:rPr>
        <w:t>。项目评估方案在签订合同前报送询价人，并作为合同的组成部分。</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5.2 逾期送达的报价文件，询价人不予受理。</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五：联系方式</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询价人：四川叙古高速公路开发有限责任公司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val="en-US" w:eastAsia="zh-CN"/>
        </w:rPr>
        <w:t>李先生</w:t>
      </w: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电    话：0830-7771253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传    真：0830-7771260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202</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年8月</w:t>
      </w:r>
      <w:r>
        <w:rPr>
          <w:rFonts w:hint="eastAsia" w:cs="宋体" w:asciiTheme="minorEastAsia" w:hAnsiTheme="minorEastAsia" w:eastAsiaTheme="minorEastAsia"/>
          <w:sz w:val="24"/>
          <w:lang w:val="en-US" w:eastAsia="zh-CN"/>
        </w:rPr>
        <w:t>25</w:t>
      </w:r>
      <w:r>
        <w:rPr>
          <w:rFonts w:hint="eastAsia" w:cs="宋体" w:asciiTheme="minorEastAsia" w:hAnsiTheme="minorEastAsia" w:eastAsiaTheme="minorEastAsia"/>
          <w:sz w:val="24"/>
        </w:rPr>
        <w:t>日</w:t>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widowControl/>
        <w:jc w:val="left"/>
        <w:rPr>
          <w:rFonts w:cs="宋体" w:asciiTheme="minorEastAsia" w:hAnsiTheme="minorEastAsia" w:eastAsiaTheme="minorEastAsia"/>
          <w:b/>
          <w:spacing w:val="37"/>
          <w:kern w:val="0"/>
          <w:sz w:val="24"/>
        </w:rPr>
      </w:pPr>
      <w:r>
        <w:rPr>
          <w:rFonts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t>二、报价人须知</w:t>
      </w:r>
    </w:p>
    <w:p>
      <w:pPr>
        <w:spacing w:line="600" w:lineRule="exact"/>
        <w:jc w:val="lef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1．询价范围</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本项目为叙永至古蔺高速公路隧道机电技术状况评估。</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服务期为签订合同之日起至完成合同约定的评估内容并提供检测报告之日止。</w:t>
      </w:r>
    </w:p>
    <w:p>
      <w:pPr>
        <w:spacing w:line="600" w:lineRule="exact"/>
        <w:jc w:val="lef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2．报价人的合格条件</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2.1具</w:t>
      </w:r>
      <w:r>
        <w:rPr>
          <w:rFonts w:hint="eastAsia" w:cs="宋体" w:asciiTheme="minorEastAsia" w:hAnsiTheme="minorEastAsia" w:eastAsiaTheme="minorEastAsia"/>
          <w:spacing w:val="6"/>
          <w:kern w:val="0"/>
          <w:sz w:val="24"/>
        </w:rPr>
        <w:t>有独立的法人资格，交通部交通工程专项试验检测资质且计量认证合格证书在有效期内；</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2.2本次询价</w:t>
      </w:r>
      <w:r>
        <w:rPr>
          <w:rFonts w:hint="eastAsia" w:cs="宋体" w:asciiTheme="minorEastAsia" w:hAnsiTheme="minorEastAsia" w:eastAsiaTheme="minorEastAsia"/>
          <w:b/>
          <w:sz w:val="24"/>
        </w:rPr>
        <w:t>不接受</w:t>
      </w:r>
      <w:r>
        <w:rPr>
          <w:rFonts w:hint="eastAsia" w:cs="宋体" w:asciiTheme="minorEastAsia" w:hAnsiTheme="minorEastAsia" w:eastAsiaTheme="minorEastAsia"/>
          <w:sz w:val="24"/>
        </w:rPr>
        <w:t>联合报价。</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2.3报价人作为本项目检测机构，应遵循科学、客观、公正的原则，严格执行现行国家和行业标准、规范和规程，独立开展评估工作，及时、准确地为询价人提供评估意见。不转借资质，不转包、违规分包，不超资质范围承揽业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2.4 报价人的人员、设备的配置，必须满足评估工作的要求。</w:t>
      </w:r>
    </w:p>
    <w:p>
      <w:pPr>
        <w:spacing w:line="600" w:lineRule="exact"/>
        <w:jc w:val="lef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3．报价文件的组成</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报价报价函书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d. 资格证明资料</w:t>
      </w: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以上内容都应使用询价文件中提供的格式或大纲，除另有规定者外，报价人不得修改。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报价人应在仔细阅读询价文件内容的基础上在签订合同前编制并提交有针对性的评估方案工作建议书，该建议书作为合同文件的一个重要组成部分。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3.3工作建议书应包括人员安排、工期计划、安全保证措施、评估方法和手段、实施细则等主要内容。</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4．报价</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询价文件所确定的询价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工程量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4.3 本项目询价人不接受报价人任何形式的调价函,如报价文件中附有任何形式的调价函,将被视为不符合性报价，其报价将被拒绝。</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5．报价文件有效期</w:t>
      </w:r>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报价文件有效期为截止日之后的7天内。在此期限后，未接到中选通知书的报价人的报价文件自行失效，询价人不另行通知或退返报价文件。</w:t>
      </w:r>
    </w:p>
    <w:p>
      <w:pPr>
        <w:spacing w:line="600" w:lineRule="exact"/>
        <w:rPr>
          <w:rFonts w:cs="宋体" w:asciiTheme="minorEastAsia" w:hAnsiTheme="minorEastAsia" w:eastAsiaTheme="minorEastAsia"/>
          <w:sz w:val="24"/>
        </w:rPr>
      </w:pPr>
      <w:r>
        <w:rPr>
          <w:rFonts w:hint="eastAsia" w:cs="宋体" w:asciiTheme="minorEastAsia" w:hAnsiTheme="minorEastAsia" w:eastAsiaTheme="minorEastAsia"/>
          <w:sz w:val="24"/>
        </w:rPr>
        <w:t>6.报价文件要求</w:t>
      </w:r>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7.询价人评审小组将对所有报价文件进行评审，并取合理低价为中选人。</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8．合同协议书的签署</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中标人在收到中选通知书后7天内应与询价人签订合同协议书。</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9．限价</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本次报价采用不设最高限价，当所有报价均超过上级主管单位要求的需通过公开招标采购的最低金额时，本次询价无效，询价人将另行采用招标方式选择评估单位。</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10．支付方式</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本项目无预付款，合同签订后5个工作日内，乙方在甲方指定的日期到现场开展工作，乙方出具报告经甲方审查后，甲方支付全部合同金额的 100%。乙方不能按时完成评估工作并出具报告时，每天应承担违约金1000元，违约金总额以合同金额为限。</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p>
    <w:p>
      <w:pPr>
        <w:widowControl/>
        <w:jc w:val="left"/>
        <w:rPr>
          <w:rFonts w:cs="宋体" w:asciiTheme="minorEastAsia" w:hAnsiTheme="minorEastAsia" w:eastAsiaTheme="minorEastAsia"/>
          <w:b/>
          <w:spacing w:val="37"/>
          <w:kern w:val="0"/>
          <w:sz w:val="24"/>
        </w:rPr>
      </w:pPr>
      <w:r>
        <w:rPr>
          <w:rFonts w:cs="宋体" w:asciiTheme="minorEastAsia" w:hAnsiTheme="minorEastAsia" w:eastAsiaTheme="minorEastAsia"/>
          <w:b/>
          <w:spacing w:val="37"/>
          <w:kern w:val="0"/>
          <w:sz w:val="24"/>
        </w:rPr>
        <w:br w:type="page"/>
      </w:r>
    </w:p>
    <w:p>
      <w:pPr>
        <w:jc w:val="center"/>
        <w:rPr>
          <w:rFonts w:hint="eastAsia" w:cs="宋体" w:asciiTheme="minorEastAsia" w:hAnsiTheme="minorEastAsia" w:eastAsiaTheme="minorEastAsia"/>
          <w:b/>
          <w:kern w:val="10"/>
          <w:sz w:val="24"/>
        </w:rPr>
      </w:pPr>
      <w:r>
        <w:rPr>
          <w:rFonts w:hint="eastAsia" w:cs="宋体" w:asciiTheme="minorEastAsia" w:hAnsiTheme="minorEastAsia" w:eastAsiaTheme="minorEastAsia"/>
          <w:b/>
          <w:kern w:val="10"/>
          <w:sz w:val="24"/>
        </w:rPr>
        <w:t>三、合同文件格式</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r>
        <w:rPr>
          <w:rFonts w:hint="eastAsia" w:cs="宋体" w:asciiTheme="minorEastAsia" w:hAnsiTheme="minorEastAsia" w:eastAsiaTheme="minorEastAsia"/>
          <w:b/>
          <w:kern w:val="10"/>
          <w:sz w:val="24"/>
        </w:rPr>
        <w:t>四川叙永至古蔺高速公路项目</w:t>
      </w:r>
    </w:p>
    <w:p>
      <w:pPr>
        <w:spacing w:line="360" w:lineRule="auto"/>
        <w:jc w:val="center"/>
        <w:rPr>
          <w:rFonts w:cs="宋体" w:asciiTheme="minorEastAsia" w:hAnsiTheme="minorEastAsia" w:eastAsiaTheme="minorEastAsia"/>
          <w:b/>
          <w:sz w:val="24"/>
        </w:rPr>
      </w:pPr>
      <w:r>
        <w:rPr>
          <w:rFonts w:hint="eastAsia" w:cs="宋体" w:asciiTheme="minorEastAsia" w:hAnsiTheme="minorEastAsia" w:eastAsiaTheme="minorEastAsia"/>
          <w:b/>
          <w:kern w:val="10"/>
          <w:sz w:val="24"/>
        </w:rPr>
        <w:t>隧道机电技术状况评估协议书</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spacing w:line="360" w:lineRule="auto"/>
        <w:ind w:firstLine="480" w:firstLineChars="200"/>
        <w:rPr>
          <w:rFonts w:cs="宋体" w:asciiTheme="minorEastAsia" w:hAnsiTheme="minorEastAsia" w:eastAsiaTheme="minorEastAsia"/>
          <w:kern w:val="10"/>
          <w:sz w:val="24"/>
        </w:rPr>
      </w:pPr>
      <w:r>
        <w:rPr>
          <w:rFonts w:hint="eastAsia" w:cs="宋体" w:asciiTheme="minorEastAsia" w:hAnsiTheme="minorEastAsia" w:eastAsiaTheme="minorEastAsia"/>
          <w:sz w:val="24"/>
        </w:rPr>
        <w:t>甲方委托乙方对</w:t>
      </w:r>
      <w:r>
        <w:rPr>
          <w:rFonts w:hint="eastAsia" w:cs="宋体" w:asciiTheme="minorEastAsia" w:hAnsiTheme="minorEastAsia" w:eastAsiaTheme="minorEastAsia"/>
          <w:kern w:val="10"/>
          <w:sz w:val="24"/>
        </w:rPr>
        <w:t>叙永至古蔺高速公路项目</w:t>
      </w:r>
      <w:r>
        <w:rPr>
          <w:rFonts w:hint="eastAsia" w:cs="宋体" w:asciiTheme="minorEastAsia" w:hAnsiTheme="minorEastAsia" w:eastAsiaTheme="minorEastAsia"/>
          <w:sz w:val="24"/>
        </w:rPr>
        <w:t>隧道机电技术状况进行评估，经双方协商，在平等自愿的基础上，达成如下协议。</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一、评估工作内容</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依据四川省交通运输厅高速公路管理局《关于开展隧道机电提质升级专项行动的通知》（川交高管运便〔2019〕31号）的要求，以及《公路隧道设计规范 第二册 交通工程与附属设施》JTG D70/2-2014)、《公路隧道照明设计细则》（JTG/T D70/2-01-2014)、《公路隧道通风设计细则》（JTG/T D70/2-02-2014)，《公路隧道养护技术规范》（JTG H12-2015)以及部制定的《公路隧道提质升级行动技术指南》等有关文件的规定，乙方组织工程技术人员开展本项目隧道机电技术状况评估工作，并提供相应的评估检测报告。</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二、评估依据</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1、批准的施工图设计文件及图纸；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2、上级机关对工程的指示文件；</w:t>
      </w:r>
    </w:p>
    <w:p>
      <w:pPr>
        <w:tabs>
          <w:tab w:val="left" w:pos="1260"/>
          <w:tab w:val="left" w:pos="1575"/>
        </w:tabs>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3、交通部颁布的相关办法、标准、规范及国家有关规定。</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三、各方的权利和义务</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甲方的权利和义务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（1）根据合同规定及时向乙方支付评估工作费用；</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（2）协调并配合现场工作。</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乙方的权利和义务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须充分考虑本次评估工作量大和工作面广，认真组织、精心安排、按时作好相关工作。负责评估过程中的安全，若因乙方原因发生责任事故由乙方承担相应责任，甲方对此不承担任何责任。由此造成甲方经济损失的由责任方按责赔偿。</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严格按照相关办法、标准和规范及有关规定，及时组织工程技术人员、检测仪器设备和交通工具等开展评估工作（对隧道照明系统的评估，还应测评在不同照明灯光组合工况下的隧道通行状况评估），为甲方提供隧道机电技术状况相关数据。</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（3）接受甲方的工作监督，并对评估报告内容的客观准确负责。</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四、费用组成及支付方式</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1、 本项目隧道机电技术状况评估费用，包括但不限于乙方安排相关技术人员、仪器设备和交通工具在工程质量实体检测、外观检查和内业资料审查过程中发生的食宿费、车辆使用费、仪器设备使用费等乙方履行本合同项下义务产生的所有费用，共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元（大写：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p>
    <w:p>
      <w:pPr>
        <w:spacing w:line="360" w:lineRule="auto"/>
        <w:ind w:firstLine="6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2、本项目无预付款，合同签订后5个工作日内，乙方在甲方指定的日期到现场进行检测评估，乙方出具评估报告并经甲方审核通过后向乙方一次性支付。</w:t>
      </w:r>
      <w:r>
        <w:rPr>
          <w:rFonts w:hint="eastAsia" w:cs="宋体" w:asciiTheme="minorEastAsia" w:hAnsiTheme="minorEastAsia" w:eastAsiaTheme="minorEastAsia"/>
          <w:sz w:val="24"/>
          <w:lang w:val="en-US" w:eastAsia="zh-CN"/>
        </w:rPr>
        <w:t>支付评估服务费用前，乙方应按照甲方财务管理的相关规定向甲方提供等额增值税普通发票并自行完成支付手续的办理。</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七、本合同自甲、乙双方盖章之日起生效，履行完毕合约内容后自动终止。</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八、本合同共六份，甲、乙各执叁份。</w:t>
      </w:r>
    </w:p>
    <w:p>
      <w:pPr>
        <w:spacing w:line="360" w:lineRule="auto"/>
        <w:ind w:firstLine="600"/>
        <w:rPr>
          <w:rFonts w:cs="宋体" w:asciiTheme="minorEastAsia" w:hAnsiTheme="minorEastAsia" w:eastAsiaTheme="minorEastAsia"/>
          <w:sz w:val="24"/>
        </w:rPr>
      </w:pPr>
    </w:p>
    <w:tbl>
      <w:tblPr>
        <w:tblStyle w:val="20"/>
        <w:tblW w:w="0" w:type="auto"/>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4410"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60"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四、报价文件</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36"/>
          <w:szCs w:val="36"/>
        </w:rPr>
      </w:pP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叙永至古蔺高速公路项目</w:t>
      </w: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隧道机电技术状况评估</w:t>
      </w: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jc w:val="center"/>
        <w:rPr>
          <w:rStyle w:val="28"/>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center"/>
        <w:rPr>
          <w:rFonts w:cs="宋体" w:asciiTheme="minorEastAsia" w:hAnsiTheme="minorEastAsia" w:eastAsiaTheme="minorEastAsia"/>
          <w:b/>
          <w:sz w:val="24"/>
        </w:rPr>
      </w:pPr>
      <w:r>
        <w:rPr>
          <w:rFonts w:cs="宋体" w:asciiTheme="minorEastAsia" w:hAnsiTheme="minorEastAsia" w:eastAsiaTheme="minorEastAsia"/>
          <w:b/>
          <w:sz w:val="24"/>
        </w:rPr>
        <w:br w:type="page"/>
      </w:r>
      <w:r>
        <w:rPr>
          <w:rFonts w:hint="eastAsia" w:cs="宋体" w:asciiTheme="minorEastAsia" w:hAnsiTheme="minorEastAsia" w:eastAsiaTheme="minorEastAsia"/>
          <w:b/>
          <w:sz w:val="24"/>
        </w:rPr>
        <w:t>一、报价函</w:t>
      </w:r>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（询价人）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叙永至古蔺高速公路项目隧道机电技术状况评估询价</w:t>
      </w:r>
      <w:r>
        <w:rPr>
          <w:rFonts w:hint="eastAsia" w:cs="宋体" w:asciiTheme="minorEastAsia" w:hAnsiTheme="minorEastAsia" w:eastAsiaTheme="minorEastAsia"/>
          <w:b/>
          <w:sz w:val="24"/>
          <w:u w:val="single"/>
        </w:rPr>
        <w:t>文件(含补遗书第    号至第    号</w:t>
      </w:r>
      <w:r>
        <w:rPr>
          <w:rFonts w:hint="eastAsia" w:cs="宋体" w:asciiTheme="minorEastAsia" w:hAnsiTheme="minorEastAsia" w:eastAsiaTheme="minorEastAsia"/>
          <w:sz w:val="24"/>
        </w:rPr>
        <w:t>)和考察了工程现场后，我方愿意按人民币</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的报价总价，遵照询价文件的要求承担本合同约定的评估任务。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内进驻现场并开展工作，并按询价文件规定的时间完成合同规定的检测评估服务内容。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 我方理解，你方不负担我方的任何报价费用。</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如果我方在本报价文件有效期内撤回报价文件；或拒绝接受按询价文件规定对报价价格的修正；或在接到中标通知书后因我方原因未能或拒绝签订合同协议书；或发现我方其他违反询价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二、法定代表人证明书</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r>
        <w:rPr>
          <w:rFonts w:hint="eastAsia" w:cs="宋体" w:asciiTheme="minorEastAsia" w:hAnsiTheme="minorEastAsia" w:eastAsiaTheme="minorEastAsia"/>
          <w:b/>
          <w:sz w:val="24"/>
        </w:rPr>
        <w:t>三、授 权 书</w:t>
      </w:r>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rPr>
        <w:t>叙永至古蔺高速公路项目隧道机电技术状况评估询价</w:t>
      </w:r>
      <w:r>
        <w:rPr>
          <w:rFonts w:hint="eastAsia" w:cs="宋体" w:asciiTheme="minorEastAsia" w:hAnsiTheme="minorEastAsia" w:eastAsiaTheme="minorEastAsia"/>
          <w:sz w:val="24"/>
        </w:rPr>
        <w:t>的报价活动中，以我方的名义签署报价文件、与询价人（或业主）协商、签订合同协议书以及执行一切与此有关的事项。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注：如法定代表人本人办理所有报价事宜，则可以免交此授权书。</w:t>
      </w:r>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四   检测服务费报价表</w:t>
      </w:r>
    </w:p>
    <w:p>
      <w:pPr>
        <w:tabs>
          <w:tab w:val="left" w:pos="1620"/>
        </w:tabs>
        <w:jc w:val="center"/>
        <w:outlineLvl w:val="1"/>
        <w:rPr>
          <w:rFonts w:cs="宋体" w:asciiTheme="minorEastAsia" w:hAnsiTheme="minorEastAsia" w:eastAsiaTheme="minorEastAsia"/>
          <w:sz w:val="24"/>
        </w:rPr>
      </w:pPr>
      <w:r>
        <w:rPr>
          <w:rFonts w:hint="eastAsia" w:cs="宋体" w:asciiTheme="minorEastAsia" w:hAnsiTheme="minorEastAsia" w:eastAsiaTheme="minorEastAsia"/>
          <w:sz w:val="24"/>
        </w:rPr>
        <w:t xml:space="preserve">                                        货币单位：人民币 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126"/>
        <w:gridCol w:w="1843"/>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2070"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螺丝寨连拱隧道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453</w:t>
            </w:r>
          </w:p>
        </w:tc>
        <w:tc>
          <w:tcPr>
            <w:tcW w:w="2070"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汪家岩隧道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4001</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3976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集美隧道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978</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1029</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百合园隧道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273</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300</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德耀隧道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1145</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1163</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桐子湾连拱隧道</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323</w:t>
            </w:r>
          </w:p>
        </w:tc>
        <w:tc>
          <w:tcPr>
            <w:tcW w:w="2070" w:type="dxa"/>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邓家沟隧道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260</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264</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石板滩隧道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478</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481</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大岚坳隧道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446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牛角隧道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356</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362</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太平渡隧道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3100</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3120</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758" w:type="dxa"/>
            <w:gridSpan w:val="3"/>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合   计</w:t>
            </w:r>
          </w:p>
        </w:tc>
        <w:tc>
          <w:tcPr>
            <w:tcW w:w="2070" w:type="dxa"/>
            <w:vAlign w:val="center"/>
          </w:tcPr>
          <w:p>
            <w:pPr>
              <w:jc w:val="center"/>
              <w:rPr>
                <w:rFonts w:asciiTheme="minorEastAsia" w:hAnsiTheme="minorEastAsia" w:eastAsiaTheme="minorEastAsia"/>
                <w:sz w:val="24"/>
              </w:rPr>
            </w:pPr>
          </w:p>
        </w:tc>
      </w:tr>
    </w:tbl>
    <w:p>
      <w:pPr>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jc w:val="center"/>
        <w:outlineLvl w:val="1"/>
        <w:rPr>
          <w:rFonts w:cs="宋体" w:asciiTheme="minorEastAsia" w:hAnsiTheme="minorEastAsia" w:eastAsiaTheme="minorEastAsia"/>
          <w:b/>
          <w:sz w:val="24"/>
        </w:rPr>
      </w:pPr>
    </w:p>
    <w:tbl>
      <w:tblPr>
        <w:tblStyle w:val="20"/>
        <w:tblpPr w:leftFromText="180" w:rightFromText="180" w:vertAnchor="text" w:horzAnchor="margin" w:tblpXSpec="right" w:tblpY="300"/>
        <w:tblW w:w="0" w:type="auto"/>
        <w:tblInd w:w="0" w:type="dxa"/>
        <w:tblLayout w:type="fixed"/>
        <w:tblCellMar>
          <w:top w:w="0" w:type="dxa"/>
          <w:left w:w="108" w:type="dxa"/>
          <w:bottom w:w="0" w:type="dxa"/>
          <w:right w:w="108" w:type="dxa"/>
        </w:tblCellMar>
      </w:tblPr>
      <w:tblGrid>
        <w:gridCol w:w="5363"/>
      </w:tblGrid>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报价人名称：</w:t>
            </w:r>
            <w:r>
              <w:rPr>
                <w:rFonts w:hint="eastAsia" w:cs="宋体" w:asciiTheme="minorEastAsia" w:hAnsiTheme="minorEastAsia" w:eastAsiaTheme="minorEastAsia"/>
                <w:sz w:val="24"/>
                <w:u w:val="single"/>
              </w:rPr>
              <w:t xml:space="preserve">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委托代理人:</w:t>
            </w:r>
            <w:r>
              <w:rPr>
                <w:rFonts w:hint="eastAsia" w:cs="宋体" w:asciiTheme="minorEastAsia" w:hAnsiTheme="minorEastAsia" w:eastAsiaTheme="minorEastAsia"/>
                <w:sz w:val="24"/>
                <w:u w:val="single"/>
              </w:rPr>
              <w:t xml:space="preserve">                 (签 字)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tabs>
                <w:tab w:val="left" w:pos="1260"/>
              </w:tabs>
              <w:spacing w:line="360" w:lineRule="auto"/>
              <w:ind w:right="42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tc>
      </w:tr>
    </w:tbl>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left"/>
        <w:rPr>
          <w:rFonts w:hint="eastAsia" w:cs="宋体" w:asciiTheme="minorEastAsia" w:hAnsiTheme="minorEastAsia" w:eastAsiaTheme="minorEastAsia"/>
          <w:b/>
          <w:sz w:val="24"/>
        </w:rPr>
      </w:pPr>
    </w:p>
    <w:p>
      <w:pPr>
        <w:jc w:val="left"/>
        <w:rPr>
          <w:rFonts w:hint="eastAsia" w:cs="宋体" w:asciiTheme="minorEastAsia" w:hAnsiTheme="minorEastAsia" w:eastAsiaTheme="minorEastAsia"/>
          <w:b/>
          <w:sz w:val="24"/>
        </w:rPr>
      </w:pPr>
    </w:p>
    <w:p>
      <w:pPr>
        <w:jc w:val="left"/>
        <w:rPr>
          <w:rFonts w:cs="宋体" w:asciiTheme="minorEastAsia" w:hAnsiTheme="minorEastAsia" w:eastAsiaTheme="minorEastAsia"/>
          <w:b/>
          <w:sz w:val="24"/>
        </w:rPr>
      </w:pPr>
      <w:r>
        <w:rPr>
          <w:rFonts w:hint="eastAsia" w:cs="宋体" w:asciiTheme="minorEastAsia" w:hAnsiTheme="minorEastAsia" w:eastAsiaTheme="minorEastAsia"/>
          <w:b/>
          <w:sz w:val="24"/>
        </w:rPr>
        <w:t>备注：</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以上报价包括了为实施和完成检测评估服务所需的人员、材料、仪器设备、安装、交通、办公设施、生活设施、食宿、税费、保险、人员设备安全保障、公证、利润等一切费用，以及合同明示或暗示的所有责任、义务和一般风险。</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2、中选人用于本工程检测评估服务的各类仪器设备的提供、租赁、运输、维护、拆卸、拼装等支付的费用，已包括在检测服务费报价之中。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3、本次询价要求报价人以总价形式进行报价，所有发生的费用视为已包含在报价报价之中。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4、检测服务费以人民币(元)结算。</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5、每条项目单独报价，合同的最后价格为汇总后的价格。</w:t>
      </w:r>
    </w:p>
    <w:p>
      <w:pPr>
        <w:jc w:val="center"/>
        <w:outlineLvl w:val="0"/>
        <w:rPr>
          <w:rFonts w:cs="宋体" w:asciiTheme="minorEastAsia" w:hAnsiTheme="minorEastAsia" w:eastAsiaTheme="minorEastAsia"/>
          <w:b/>
          <w:sz w:val="24"/>
        </w:rPr>
        <w:sectPr>
          <w:headerReference r:id="rId7" w:type="default"/>
          <w:footerReference r:id="rId8" w:type="default"/>
          <w:footerReference r:id="rId9" w:type="even"/>
          <w:pgSz w:w="11906" w:h="16838"/>
          <w:pgMar w:top="1304" w:right="1418" w:bottom="1304" w:left="1418" w:header="779" w:footer="1021" w:gutter="0"/>
          <w:cols w:space="720" w:num="1"/>
          <w:docGrid w:type="linesAndChars" w:linePitch="312" w:charSpace="0"/>
        </w:sectPr>
      </w:pP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五 质量检测工作建议书</w:t>
      </w:r>
    </w:p>
    <w:p>
      <w:pPr>
        <w:jc w:val="left"/>
        <w:rPr>
          <w:rFonts w:cs="宋体" w:asciiTheme="minorEastAsia" w:hAnsiTheme="minorEastAsia" w:eastAsiaTheme="minorEastAsia"/>
          <w:sz w:val="24"/>
        </w:rPr>
      </w:pP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1、工程概况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2、现场检测评估人员安排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3、检测评估仪器、设备和设施的配备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4、检测评估方案和措施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5、信息反馈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7、其他应说明的事项。</w:t>
      </w: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六   资格证明材料</w:t>
      </w:r>
    </w:p>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表1  报价人一般情况表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32"/>
        <w:gridCol w:w="19"/>
        <w:gridCol w:w="1879"/>
        <w:gridCol w:w="9"/>
        <w:gridCol w:w="929"/>
        <w:gridCol w:w="942"/>
        <w:gridCol w:w="828"/>
        <w:gridCol w:w="1053"/>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8"/>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试验检测机构等级证书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证书等级</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CMA计量认证证书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c>
          <w:tcPr>
            <w:tcW w:w="2819"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专业技术人员</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gridSpan w:val="2"/>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注：1、在本表后应附营业执照副本或事业单位法人证书、试验检测机构等级证书、CMA计量认证证书的复印件并盖鲜章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表2  拟派驻本项目的人员一览表</w:t>
      </w:r>
    </w:p>
    <w:p>
      <w:pPr>
        <w:jc w:val="left"/>
        <w:rPr>
          <w:rFonts w:cs="宋体" w:asciiTheme="minorEastAsia" w:hAnsiTheme="minorEastAsia" w:eastAsiaTheme="minorEastAsia"/>
          <w:sz w:val="24"/>
        </w:rPr>
      </w:pP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r>
        <w:rPr>
          <w:rFonts w:hint="eastAsia" w:cs="宋体" w:asciiTheme="minorEastAsia" w:hAnsiTheme="minorEastAsia" w:eastAsiaTheme="minorEastAsia"/>
          <w:b/>
          <w:sz w:val="24"/>
        </w:rPr>
        <w:t xml:space="preserve"> </w:t>
      </w:r>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sectPr>
      <w:headerReference r:id="rId10" w:type="default"/>
      <w:footerReference r:id="rId11" w:type="default"/>
      <w:pgSz w:w="11907" w:h="16840"/>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rPr>
        <w:rStyle w:val="22"/>
      </w:rPr>
      <w:instrText xml:space="preserve"> PAGE </w:instrText>
    </w:r>
    <w:r>
      <w:fldChar w:fldCharType="separate"/>
    </w:r>
    <w:r>
      <w:rPr>
        <w:rStyle w:val="22"/>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2"/>
      </w:rPr>
    </w:pPr>
    <w:r>
      <w:fldChar w:fldCharType="begin"/>
    </w:r>
    <w:r>
      <w:rPr>
        <w:rStyle w:val="22"/>
      </w:rPr>
      <w:instrText xml:space="preserve">PAGE  </w:instrText>
    </w:r>
    <w:r>
      <w:fldChar w:fldCharType="separate"/>
    </w:r>
    <w:r>
      <w:rPr>
        <w:rStyle w:val="22"/>
      </w:rPr>
      <w:t>83</w:t>
    </w:r>
    <w: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separate"/>
    </w:r>
    <w:r>
      <w:rPr>
        <w:rStyle w:val="22"/>
      </w:rPr>
      <w:t>4</w:t>
    </w:r>
    <w:r>
      <w:fldChar w:fldCharType="end"/>
    </w:r>
  </w:p>
  <w:p>
    <w:pPr>
      <w:pStyle w:val="14"/>
      <w:framePr w:wrap="around" w:vAnchor="text" w:hAnchor="margin" w:xAlign="center" w:y="1"/>
      <w:ind w:right="360"/>
      <w:rPr>
        <w:rStyle w:val="22"/>
      </w:rPr>
    </w:pP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rPr>
    </w:pPr>
    <w:r>
      <w:rPr>
        <w:rFonts w:ascii="宋体" w:hAnsi="宋体"/>
      </w:rPr>
      <w:fldChar w:fldCharType="begin"/>
    </w:r>
    <w:r>
      <w:rPr>
        <w:rStyle w:val="22"/>
        <w:rFonts w:ascii="宋体" w:hAnsi="宋体"/>
      </w:rPr>
      <w:instrText xml:space="preserve"> PAGE </w:instrText>
    </w:r>
    <w:r>
      <w:rPr>
        <w:rFonts w:ascii="宋体" w:hAnsi="宋体"/>
      </w:rPr>
      <w:fldChar w:fldCharType="separate"/>
    </w:r>
    <w:r>
      <w:rPr>
        <w:rStyle w:val="22"/>
        <w:rFonts w:ascii="宋体" w:hAnsi="宋体"/>
      </w:rPr>
      <w:t>17</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6" w:space="0"/>
      </w:pBdr>
    </w:pPr>
    <w:r>
      <w:rPr>
        <w:rFonts w:hint="eastAsia" w:ascii="仿宋_GB2312" w:eastAsia="仿宋_GB2312"/>
      </w:rPr>
      <w:t>叙永至古蔺高速公路工程项目                                           隧道机电技术状况评估询价文件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C003A"/>
    <w:multiLevelType w:val="multilevel"/>
    <w:tmpl w:val="349C003A"/>
    <w:lvl w:ilvl="0" w:tentative="0">
      <w:start w:val="1"/>
      <w:numFmt w:val="decimal"/>
      <w:lvlText w:val="%1、"/>
      <w:lvlJc w:val="left"/>
      <w:pPr>
        <w:tabs>
          <w:tab w:val="left" w:pos="1080"/>
        </w:tabs>
        <w:ind w:left="108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ZmEwMzYwY2RiOWZjZmI1ZTM4YjYzMzgwNzkxOTkifQ=="/>
  </w:docVars>
  <w:rsids>
    <w:rsidRoot w:val="00172A27"/>
    <w:rsid w:val="00004F14"/>
    <w:rsid w:val="00095F42"/>
    <w:rsid w:val="00135F72"/>
    <w:rsid w:val="00167515"/>
    <w:rsid w:val="00172A27"/>
    <w:rsid w:val="001A5882"/>
    <w:rsid w:val="001F5E23"/>
    <w:rsid w:val="002F7B57"/>
    <w:rsid w:val="00345D81"/>
    <w:rsid w:val="00421719"/>
    <w:rsid w:val="00433FB3"/>
    <w:rsid w:val="00477BB9"/>
    <w:rsid w:val="004D0918"/>
    <w:rsid w:val="004E135E"/>
    <w:rsid w:val="00590049"/>
    <w:rsid w:val="005E6393"/>
    <w:rsid w:val="00655C80"/>
    <w:rsid w:val="00691A3C"/>
    <w:rsid w:val="0069647F"/>
    <w:rsid w:val="006E0EDC"/>
    <w:rsid w:val="00712327"/>
    <w:rsid w:val="008020F9"/>
    <w:rsid w:val="00886BFA"/>
    <w:rsid w:val="009667A2"/>
    <w:rsid w:val="009921C9"/>
    <w:rsid w:val="00AB4239"/>
    <w:rsid w:val="00AE4D74"/>
    <w:rsid w:val="00B91575"/>
    <w:rsid w:val="00BA1A48"/>
    <w:rsid w:val="00C1500E"/>
    <w:rsid w:val="00C71F81"/>
    <w:rsid w:val="00C75584"/>
    <w:rsid w:val="00C90365"/>
    <w:rsid w:val="00C9755E"/>
    <w:rsid w:val="00E67A17"/>
    <w:rsid w:val="00FF6DB0"/>
    <w:rsid w:val="0E1B64AA"/>
    <w:rsid w:val="1A5D54D3"/>
    <w:rsid w:val="1A814DC3"/>
    <w:rsid w:val="1B0818E3"/>
    <w:rsid w:val="1EC022FB"/>
    <w:rsid w:val="27B405A4"/>
    <w:rsid w:val="2CF87090"/>
    <w:rsid w:val="3E262F85"/>
    <w:rsid w:val="3FC841C3"/>
    <w:rsid w:val="4CF50330"/>
    <w:rsid w:val="4D8D0FD5"/>
    <w:rsid w:val="580B5BBE"/>
    <w:rsid w:val="585C3C2E"/>
    <w:rsid w:val="5BEA73AE"/>
    <w:rsid w:val="6548469C"/>
    <w:rsid w:val="69633DC8"/>
    <w:rsid w:val="7B7B66DC"/>
    <w:rsid w:val="7C6C2DFE"/>
    <w:rsid w:val="7E043633"/>
    <w:rsid w:val="7E244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paragraph" w:styleId="5">
    <w:name w:val="heading 5"/>
    <w:basedOn w:val="1"/>
    <w:next w:val="1"/>
    <w:qFormat/>
    <w:uiPriority w:val="0"/>
    <w:pPr>
      <w:keepNext/>
      <w:keepLines/>
      <w:spacing w:before="280" w:after="290" w:line="372" w:lineRule="auto"/>
      <w:outlineLvl w:val="4"/>
    </w:pPr>
    <w:rPr>
      <w:b/>
      <w:bCs/>
      <w:sz w:val="28"/>
      <w:szCs w:val="28"/>
    </w:rPr>
  </w:style>
  <w:style w:type="paragraph" w:styleId="6">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1">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7">
    <w:name w:val="Document Map"/>
    <w:basedOn w:val="1"/>
    <w:qFormat/>
    <w:uiPriority w:val="0"/>
    <w:pPr>
      <w:shd w:val="clear" w:color="auto" w:fill="000080"/>
    </w:pPr>
  </w:style>
  <w:style w:type="paragraph" w:styleId="8">
    <w:name w:val="annotation text"/>
    <w:basedOn w:val="1"/>
    <w:unhideWhenUsed/>
    <w:qFormat/>
    <w:uiPriority w:val="99"/>
    <w:pPr>
      <w:jc w:val="left"/>
    </w:pPr>
  </w:style>
  <w:style w:type="paragraph" w:styleId="9">
    <w:name w:val="Body Text Indent"/>
    <w:basedOn w:val="1"/>
    <w:qFormat/>
    <w:uiPriority w:val="0"/>
    <w:pPr>
      <w:spacing w:after="120"/>
      <w:ind w:left="420" w:leftChars="200"/>
    </w:pPr>
  </w:style>
  <w:style w:type="paragraph" w:styleId="10">
    <w:name w:val="toc 3"/>
    <w:basedOn w:val="1"/>
    <w:next w:val="1"/>
    <w:qFormat/>
    <w:uiPriority w:val="0"/>
    <w:pPr>
      <w:ind w:left="840" w:leftChars="400"/>
    </w:pPr>
  </w:style>
  <w:style w:type="paragraph" w:styleId="11">
    <w:name w:val="Plain Text"/>
    <w:basedOn w:val="1"/>
    <w:link w:val="32"/>
    <w:qFormat/>
    <w:uiPriority w:val="0"/>
    <w:rPr>
      <w:rFonts w:ascii="宋体" w:hAnsi="Courier New" w:cs="Courier New"/>
      <w:sz w:val="28"/>
      <w:szCs w:val="21"/>
    </w:rPr>
  </w:style>
  <w:style w:type="paragraph" w:styleId="12">
    <w:name w:val="Date"/>
    <w:basedOn w:val="1"/>
    <w:next w:val="1"/>
    <w:qFormat/>
    <w:uiPriority w:val="0"/>
    <w:pPr>
      <w:ind w:left="100" w:leftChars="2500"/>
    </w:pPr>
  </w:style>
  <w:style w:type="paragraph" w:styleId="13">
    <w:name w:val="Balloon Text"/>
    <w:basedOn w:val="1"/>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pPr>
      <w:spacing w:line="360" w:lineRule="auto"/>
    </w:pPr>
    <w:rPr>
      <w:rFonts w:eastAsia="仿宋_GB2312"/>
      <w:sz w:val="32"/>
    </w:rPr>
  </w:style>
  <w:style w:type="paragraph" w:styleId="17">
    <w:name w:val="Body Text Indent 3"/>
    <w:basedOn w:val="1"/>
    <w:unhideWhenUsed/>
    <w:qFormat/>
    <w:uiPriority w:val="99"/>
    <w:pPr>
      <w:spacing w:after="120"/>
      <w:ind w:left="420" w:leftChars="200"/>
    </w:pPr>
    <w:rPr>
      <w:sz w:val="16"/>
      <w:szCs w:val="16"/>
    </w:rPr>
  </w:style>
  <w:style w:type="paragraph" w:styleId="18">
    <w:name w:val="toc 2"/>
    <w:basedOn w:val="1"/>
    <w:next w:val="1"/>
    <w:qFormat/>
    <w:uiPriority w:val="0"/>
    <w:pPr>
      <w:spacing w:line="360" w:lineRule="auto"/>
      <w:ind w:left="200" w:leftChars="200" w:firstLine="400" w:firstLineChars="400"/>
    </w:pPr>
    <w:rPr>
      <w:rFonts w:eastAsia="仿宋_GB2312"/>
      <w:sz w:val="32"/>
    </w:rPr>
  </w:style>
  <w:style w:type="paragraph" w:styleId="19">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character" w:styleId="22">
    <w:name w:val="page number"/>
    <w:basedOn w:val="21"/>
    <w:qFormat/>
    <w:uiPriority w:val="0"/>
  </w:style>
  <w:style w:type="character" w:styleId="23">
    <w:name w:val="Hyperlink"/>
    <w:basedOn w:val="21"/>
    <w:qFormat/>
    <w:uiPriority w:val="0"/>
    <w:rPr>
      <w:color w:val="0000FF"/>
      <w:u w:val="single"/>
    </w:rPr>
  </w:style>
  <w:style w:type="character" w:styleId="24">
    <w:name w:val="annotation reference"/>
    <w:basedOn w:val="21"/>
    <w:unhideWhenUsed/>
    <w:qFormat/>
    <w:uiPriority w:val="99"/>
    <w:rPr>
      <w:sz w:val="21"/>
      <w:szCs w:val="21"/>
    </w:rPr>
  </w:style>
  <w:style w:type="character" w:customStyle="1" w:styleId="25">
    <w:name w:val="章 Char Char"/>
    <w:basedOn w:val="21"/>
    <w:link w:val="26"/>
    <w:qFormat/>
    <w:uiPriority w:val="0"/>
    <w:rPr>
      <w:rFonts w:eastAsia="仿宋_GB2312"/>
      <w:b/>
      <w:kern w:val="2"/>
      <w:sz w:val="36"/>
      <w:szCs w:val="32"/>
      <w:lang w:val="en-US" w:eastAsia="zh-CN" w:bidi="ar-SA"/>
    </w:rPr>
  </w:style>
  <w:style w:type="paragraph" w:customStyle="1" w:styleId="26">
    <w:name w:val="章"/>
    <w:basedOn w:val="1"/>
    <w:link w:val="25"/>
    <w:qFormat/>
    <w:uiPriority w:val="0"/>
    <w:pPr>
      <w:spacing w:line="360" w:lineRule="auto"/>
      <w:jc w:val="center"/>
      <w:outlineLvl w:val="0"/>
    </w:pPr>
    <w:rPr>
      <w:rFonts w:eastAsia="仿宋_GB2312"/>
      <w:b/>
      <w:sz w:val="36"/>
      <w:szCs w:val="32"/>
    </w:rPr>
  </w:style>
  <w:style w:type="character" w:customStyle="1" w:styleId="27">
    <w:name w:val="页脚 Char"/>
    <w:basedOn w:val="21"/>
    <w:link w:val="14"/>
    <w:qFormat/>
    <w:uiPriority w:val="0"/>
    <w:rPr>
      <w:rFonts w:eastAsia="宋体"/>
      <w:kern w:val="2"/>
      <w:sz w:val="18"/>
      <w:szCs w:val="18"/>
      <w:lang w:val="en-US" w:eastAsia="zh-CN" w:bidi="ar-SA"/>
    </w:rPr>
  </w:style>
  <w:style w:type="character" w:customStyle="1" w:styleId="28">
    <w:name w:val="font161"/>
    <w:qFormat/>
    <w:uiPriority w:val="0"/>
    <w:rPr>
      <w:b/>
      <w:bCs/>
      <w:sz w:val="32"/>
      <w:szCs w:val="32"/>
    </w:rPr>
  </w:style>
  <w:style w:type="character" w:customStyle="1" w:styleId="29">
    <w:name w:val="3级标题 Char Char"/>
    <w:basedOn w:val="21"/>
    <w:link w:val="30"/>
    <w:qFormat/>
    <w:uiPriority w:val="0"/>
    <w:rPr>
      <w:rFonts w:ascii="宋体"/>
      <w:b/>
      <w:bCs/>
      <w:sz w:val="24"/>
      <w:szCs w:val="24"/>
      <w:lang w:val="en-US" w:eastAsia="zh-CN" w:bidi="ar-SA"/>
    </w:rPr>
  </w:style>
  <w:style w:type="paragraph" w:customStyle="1" w:styleId="30">
    <w:name w:val="3级标题"/>
    <w:link w:val="29"/>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1">
    <w:name w:val="页眉 Char"/>
    <w:basedOn w:val="21"/>
    <w:link w:val="15"/>
    <w:qFormat/>
    <w:uiPriority w:val="0"/>
    <w:rPr>
      <w:rFonts w:eastAsia="宋体"/>
      <w:kern w:val="2"/>
      <w:sz w:val="18"/>
      <w:szCs w:val="18"/>
      <w:lang w:val="en-US" w:eastAsia="zh-CN" w:bidi="ar-SA"/>
    </w:rPr>
  </w:style>
  <w:style w:type="character" w:customStyle="1" w:styleId="32">
    <w:name w:val="纯文本 Char"/>
    <w:basedOn w:val="21"/>
    <w:link w:val="11"/>
    <w:qFormat/>
    <w:uiPriority w:val="0"/>
    <w:rPr>
      <w:rFonts w:ascii="宋体" w:hAnsi="Courier New" w:eastAsia="宋体" w:cs="Courier New"/>
      <w:kern w:val="2"/>
      <w:sz w:val="28"/>
      <w:szCs w:val="21"/>
      <w:lang w:val="en-US" w:eastAsia="zh-CN" w:bidi="ar-SA"/>
    </w:rPr>
  </w:style>
  <w:style w:type="character" w:customStyle="1" w:styleId="33">
    <w:name w:val="Char Char1"/>
    <w:basedOn w:val="21"/>
    <w:qFormat/>
    <w:uiPriority w:val="0"/>
    <w:rPr>
      <w:kern w:val="2"/>
      <w:sz w:val="18"/>
      <w:szCs w:val="18"/>
    </w:rPr>
  </w:style>
  <w:style w:type="paragraph" w:customStyle="1" w:styleId="34">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35">
    <w:name w:val="Char"/>
    <w:basedOn w:val="1"/>
    <w:qFormat/>
    <w:uiPriority w:val="0"/>
  </w:style>
  <w:style w:type="paragraph" w:customStyle="1" w:styleId="36">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37">
    <w:name w:val="Char1"/>
    <w:basedOn w:val="1"/>
    <w:qFormat/>
    <w:uiPriority w:val="0"/>
    <w:rPr>
      <w:szCs w:val="20"/>
    </w:rPr>
  </w:style>
  <w:style w:type="paragraph" w:customStyle="1" w:styleId="38">
    <w:name w:val="附件标题"/>
    <w:basedOn w:val="3"/>
    <w:qFormat/>
    <w:uiPriority w:val="0"/>
    <w:pPr>
      <w:spacing w:before="0" w:after="0" w:line="360" w:lineRule="auto"/>
    </w:pPr>
    <w:rPr>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18</Pages>
  <Words>5049</Words>
  <Characters>5460</Characters>
  <Lines>58</Lines>
  <Paragraphs>16</Paragraphs>
  <TotalTime>26</TotalTime>
  <ScaleCrop>false</ScaleCrop>
  <LinksUpToDate>false</LinksUpToDate>
  <CharactersWithSpaces>6590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2021-08-16T03:18:00Z</dcterms:created>
  <dc:creator>打字室</dc:creator>
  <cp:lastModifiedBy>shou'shou更开心</cp:lastModifiedBy>
  <cp:lastPrinted>2022-08-29T08:52:00Z</cp:lastPrinted>
  <dcterms:modified xsi:type="dcterms:W3CDTF">2022-08-31T01:16:39Z</dcterms:modified>
  <dc:title>四川公路桥梁建设集团有限公司材料采购招标文件范本及评标细则</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03DC8793B0304A3B8351B706FF21788D</vt:lpwstr>
  </property>
</Properties>
</file>